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00" w:rsidRPr="00A86B00" w:rsidRDefault="00A86B00" w:rsidP="00751330">
      <w:pPr>
        <w:tabs>
          <w:tab w:val="center" w:pos="4680"/>
          <w:tab w:val="right" w:pos="9360"/>
        </w:tabs>
        <w:rPr>
          <w:bCs/>
          <w:sz w:val="22"/>
          <w:szCs w:val="22"/>
        </w:rPr>
      </w:pPr>
      <w:bookmarkStart w:id="0" w:name="_GoBack"/>
      <w:bookmarkEnd w:id="0"/>
    </w:p>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8745A6">
      <w:pPr>
        <w:tabs>
          <w:tab w:val="center" w:pos="4680"/>
          <w:tab w:val="right" w:pos="9360"/>
        </w:tabs>
        <w:rPr>
          <w:sz w:val="22"/>
          <w:szCs w:val="22"/>
        </w:rPr>
      </w:pPr>
    </w:p>
    <w:p w:rsidR="003C3A98" w:rsidRPr="00751330" w:rsidRDefault="003A4171" w:rsidP="008745A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AC422"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r w:rsidR="00A86B00">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ge">
                  <wp:posOffset>1695450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8853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33.5pt" to="46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8745A6" w:rsidRDefault="008745A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u w:val="single"/>
        </w:rPr>
      </w:pPr>
    </w:p>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431B3A">
        <w:rPr>
          <w:sz w:val="22"/>
          <w:szCs w:val="22"/>
        </w:rPr>
        <w:t>18-034</w:t>
      </w:r>
      <w:r w:rsidR="00F461EC">
        <w:rPr>
          <w:sz w:val="22"/>
          <w:szCs w:val="22"/>
        </w:rPr>
        <w:t xml:space="preserve"> </w:t>
      </w:r>
      <w:r w:rsidR="00D37758">
        <w:rPr>
          <w:sz w:val="22"/>
          <w:szCs w:val="22"/>
        </w:rPr>
        <w:t xml:space="preserve">issued </w:t>
      </w:r>
      <w:r w:rsidR="00431B3A">
        <w:rPr>
          <w:sz w:val="22"/>
          <w:szCs w:val="22"/>
        </w:rPr>
        <w:t>10/03</w:t>
      </w:r>
      <w:r w:rsidR="00453AD5">
        <w:rPr>
          <w:sz w:val="22"/>
          <w:szCs w:val="22"/>
        </w:rPr>
        <w:t>/2018</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FC5811">
        <w:rPr>
          <w:sz w:val="22"/>
          <w:szCs w:val="22"/>
        </w:rPr>
        <w:t>06/21/18</w:t>
      </w:r>
      <w:r w:rsidR="00DA2B35" w:rsidRPr="00751330">
        <w:rPr>
          <w:sz w:val="22"/>
          <w:szCs w:val="22"/>
        </w:rPr>
        <w:t xml:space="preserve"> </w:t>
      </w:r>
      <w:r w:rsidR="007F135D">
        <w:rPr>
          <w:sz w:val="22"/>
          <w:szCs w:val="22"/>
        </w:rPr>
        <w:t>(</w:t>
      </w:r>
      <w:r w:rsidR="00FC5811">
        <w:rPr>
          <w:sz w:val="22"/>
          <w:szCs w:val="22"/>
        </w:rPr>
        <w:t>18-016</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7256A8">
        <w:rPr>
          <w:sz w:val="22"/>
          <w:szCs w:val="22"/>
        </w:rPr>
        <w:t>18-012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453AD5">
        <w:rPr>
          <w:sz w:val="22"/>
          <w:szCs w:val="22"/>
        </w:rPr>
        <w:t>01/05/18 (18-001</w:t>
      </w:r>
      <w:r w:rsidR="003C3A98"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CE6157" w:rsidRPr="003F59DE" w:rsidRDefault="00CE6157" w:rsidP="003F56D8">
      <w:pPr>
        <w:ind w:left="2160" w:hanging="1440"/>
        <w:rPr>
          <w:sz w:val="22"/>
          <w:szCs w:val="22"/>
        </w:rPr>
      </w:pPr>
      <w:r>
        <w:rPr>
          <w:sz w:val="22"/>
          <w:szCs w:val="22"/>
        </w:rPr>
        <w:t>0327</w:t>
      </w:r>
      <w:r>
        <w:rPr>
          <w:sz w:val="22"/>
          <w:szCs w:val="22"/>
        </w:rPr>
        <w:tab/>
        <w:t>RESERVED for SG Leakage Oversight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Pr>
          <w:sz w:val="22"/>
          <w:szCs w:val="22"/>
        </w:rPr>
        <w:lastRenderedPageBreak/>
        <w:tab/>
      </w:r>
      <w:r w:rsidR="00493B36" w:rsidRPr="00751330">
        <w:rPr>
          <w:sz w:val="22"/>
          <w:szCs w:val="22"/>
        </w:rPr>
        <w:t>0400</w:t>
      </w:r>
      <w:r w:rsidR="00493B36"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00CE6157">
        <w:rPr>
          <w:sz w:val="22"/>
          <w:szCs w:val="22"/>
        </w:rPr>
        <w:t>RESERVED</w:t>
      </w:r>
      <w:r w:rsidRPr="00751330">
        <w:rPr>
          <w:sz w:val="22"/>
          <w:szCs w:val="22"/>
        </w:rPr>
        <w:t xml:space="preserve">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A84D04" w:rsidRDefault="00A84D04" w:rsidP="00F9353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10"/>
          <w:pgSz w:w="12240" w:h="15840" w:code="1"/>
          <w:pgMar w:top="1440" w:right="1440" w:bottom="1440" w:left="1440" w:header="720" w:footer="720" w:gutter="0"/>
          <w:cols w:space="720"/>
          <w:noEndnote/>
          <w:docGrid w:linePitch="272"/>
        </w:sect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p>
    <w:p w:rsidR="003C3A98" w:rsidRPr="00751330" w:rsidRDefault="00E716A0"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12/13/17 (17-029</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9E73E1"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10/01/18 (18-033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09/06/18 (18-030</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08/23/18 (18-029</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lastRenderedPageBreak/>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06/07/18 (18-014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lastRenderedPageBreak/>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F336E">
        <w:rPr>
          <w:sz w:val="22"/>
          <w:szCs w:val="22"/>
        </w:rPr>
        <w:t>08/20/18 (18-026</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951D6" w:rsidRPr="00751330" w:rsidRDefault="00A95552"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Pr="00751330"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581FB5">
        <w:rPr>
          <w:color w:val="000000"/>
          <w:sz w:val="22"/>
          <w:szCs w:val="22"/>
        </w:rPr>
        <w:t>05/16/18 (18-013</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03/28/17 (17-008</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05E64">
        <w:rPr>
          <w:sz w:val="22"/>
          <w:szCs w:val="22"/>
        </w:rPr>
        <w:t>10/03</w:t>
      </w:r>
      <w:r w:rsidR="000664AE">
        <w:rPr>
          <w:sz w:val="22"/>
          <w:szCs w:val="22"/>
        </w:rPr>
        <w:t>/17</w:t>
      </w:r>
      <w:r w:rsidRPr="00751330">
        <w:rPr>
          <w:sz w:val="22"/>
          <w:szCs w:val="22"/>
        </w:rPr>
        <w:t xml:space="preserve"> (</w:t>
      </w:r>
      <w:r w:rsidR="00805E64">
        <w:rPr>
          <w:sz w:val="22"/>
          <w:szCs w:val="22"/>
        </w:rPr>
        <w:t>17-020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r>
      <w:r w:rsidR="00EC49B8">
        <w:rPr>
          <w:sz w:val="22"/>
          <w:szCs w:val="22"/>
        </w:rPr>
        <w:t>07/10/18 (18-020</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lastRenderedPageBreak/>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0951AA" w:rsidRPr="00751330">
        <w:rPr>
          <w:sz w:val="22"/>
          <w:szCs w:val="22"/>
        </w:rPr>
        <w:t>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F444B">
        <w:rPr>
          <w:sz w:val="22"/>
          <w:szCs w:val="22"/>
        </w:rPr>
        <w:t>06/12/18 (18-015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RESERVED for Fuel Cycle Oversight Self-Assessment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 Rev 2</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0E4C45">
        <w:rPr>
          <w:sz w:val="22"/>
          <w:szCs w:val="22"/>
        </w:rPr>
        <w:t>05/09/18 (18-011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lastRenderedPageBreak/>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Pr="00751330"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CF5230"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52017" w:rsidRDefault="0065201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52017" w:rsidRPr="00751330" w:rsidRDefault="0065201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Default="005F7B79" w:rsidP="005F7B79">
      <w:pPr>
        <w:rPr>
          <w:color w:val="000000"/>
          <w:sz w:val="22"/>
          <w:szCs w:val="22"/>
        </w:rPr>
      </w:pPr>
    </w:p>
    <w:p w:rsidR="004B654C" w:rsidRDefault="004B654C"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A85F0A">
        <w:rPr>
          <w:sz w:val="22"/>
          <w:szCs w:val="22"/>
        </w:rPr>
        <w:t>11/28/17</w:t>
      </w:r>
      <w:r w:rsidRPr="00751330">
        <w:rPr>
          <w:sz w:val="22"/>
          <w:szCs w:val="22"/>
        </w:rPr>
        <w:t xml:space="preserve"> (</w:t>
      </w:r>
      <w:r w:rsidR="00A85F0A">
        <w:rPr>
          <w:sz w:val="22"/>
          <w:szCs w:val="22"/>
        </w:rPr>
        <w:t>17-027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Pr>
          <w:sz w:val="22"/>
          <w:szCs w:val="22"/>
        </w:rPr>
        <w:t>09/24/14</w:t>
      </w:r>
      <w:r w:rsidRPr="00751330">
        <w:rPr>
          <w:sz w:val="22"/>
          <w:szCs w:val="22"/>
        </w:rPr>
        <w:t xml:space="preserve"> (1</w:t>
      </w:r>
      <w:r>
        <w:rPr>
          <w:sz w:val="22"/>
          <w:szCs w:val="22"/>
        </w:rPr>
        <w:t>4</w:t>
      </w:r>
      <w:r w:rsidRPr="00751330">
        <w:rPr>
          <w:sz w:val="22"/>
          <w:szCs w:val="22"/>
        </w:rPr>
        <w:t>-0</w:t>
      </w:r>
      <w:r>
        <w:rPr>
          <w:sz w:val="22"/>
          <w:szCs w:val="22"/>
        </w:rPr>
        <w:t>22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08/01/18 (18-025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Pr>
          <w:sz w:val="22"/>
          <w:szCs w:val="22"/>
        </w:rPr>
        <w:t>12/21/16 (16-035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Pr>
          <w:sz w:val="22"/>
          <w:szCs w:val="22"/>
        </w:rPr>
        <w:t xml:space="preserve"> 09/24/14 (14-022)</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A85F0A">
        <w:rPr>
          <w:sz w:val="22"/>
          <w:szCs w:val="22"/>
        </w:rPr>
        <w:t>11/28/17 (17-027</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Pr>
          <w:sz w:val="22"/>
          <w:szCs w:val="22"/>
        </w:rPr>
        <w:t>09/30/16</w:t>
      </w:r>
      <w:r w:rsidRPr="005F7906">
        <w:rPr>
          <w:sz w:val="22"/>
          <w:szCs w:val="22"/>
        </w:rPr>
        <w:t xml:space="preserve"> (</w:t>
      </w:r>
      <w:r>
        <w:rPr>
          <w:sz w:val="22"/>
          <w:szCs w:val="22"/>
        </w:rPr>
        <w:t>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09/30/16 (16-024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10/03/18 (18-034</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09/06/18 (18-030</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lastRenderedPageBreak/>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CF1BB7">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orage Installations 08/25/17 (17-016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A84D04" w:rsidRDefault="00A84D04"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81504</w:t>
      </w:r>
      <w:r w:rsidRPr="00751330">
        <w:rPr>
          <w:sz w:val="22"/>
          <w:szCs w:val="22"/>
        </w:rPr>
        <w:tab/>
      </w:r>
      <w:r w:rsidRPr="00751330">
        <w:rPr>
          <w:sz w:val="22"/>
          <w:szCs w:val="22"/>
        </w:rPr>
        <w:tab/>
        <w:t>Fitness for Duty Program for Construction 10/15/09 (09-024)</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C65325" w:rsidRPr="00751330"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751330">
        <w:rPr>
          <w:sz w:val="22"/>
          <w:szCs w:val="22"/>
        </w:rPr>
        <w:t>83523</w:t>
      </w:r>
      <w:r w:rsidR="00C65325" w:rsidRPr="00751330">
        <w:rPr>
          <w:sz w:val="22"/>
          <w:szCs w:val="22"/>
        </w:rPr>
        <w:tab/>
      </w:r>
      <w:r w:rsidR="00C65325" w:rsidRPr="00751330">
        <w:rPr>
          <w:sz w:val="22"/>
          <w:szCs w:val="22"/>
        </w:rPr>
        <w:tab/>
        <w:t xml:space="preserve">Radiation Protection, Plant Chemistry, Radwaste, Transportation and </w:t>
      </w:r>
      <w:r w:rsidR="00EF37B4">
        <w:rPr>
          <w:sz w:val="22"/>
          <w:szCs w:val="22"/>
        </w:rPr>
        <w:tab/>
      </w:r>
      <w:r w:rsidR="00EF37B4">
        <w:rPr>
          <w:sz w:val="22"/>
          <w:szCs w:val="22"/>
        </w:rPr>
        <w:tab/>
      </w:r>
      <w:r w:rsidR="00EF37B4">
        <w:rPr>
          <w:sz w:val="22"/>
          <w:szCs w:val="22"/>
        </w:rPr>
        <w:tab/>
      </w:r>
      <w:r w:rsidR="00C65325" w:rsidRPr="00751330">
        <w:rPr>
          <w:sz w:val="22"/>
          <w:szCs w:val="22"/>
        </w:rPr>
        <w:t>Environmental:  Training and Qualifications 01/01/84 (reactivated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Pr="00751330"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lastRenderedPageBreak/>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Pr="007D3397" w:rsidRDefault="007C305B"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lastRenderedPageBreak/>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3C00D0"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F24EE" w:rsidRPr="00751330">
        <w:rPr>
          <w:sz w:val="22"/>
          <w:szCs w:val="22"/>
        </w:rPr>
        <w:t>93815</w:t>
      </w:r>
      <w:r w:rsidR="00BF24EE" w:rsidRPr="00751330">
        <w:rPr>
          <w:sz w:val="22"/>
          <w:szCs w:val="22"/>
        </w:rPr>
        <w:tab/>
      </w:r>
      <w:r w:rsidR="00BF24EE"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7F6FC1" w:rsidRPr="00751330"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Pr="00751330"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lastRenderedPageBreak/>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CFB" w:rsidRDefault="00DD6CFB">
      <w:r>
        <w:separator/>
      </w:r>
    </w:p>
  </w:endnote>
  <w:endnote w:type="continuationSeparator" w:id="0">
    <w:p w:rsidR="00DD6CFB" w:rsidRDefault="00DD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FB" w:rsidRPr="00751330" w:rsidRDefault="00431B3A"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10/03</w:t>
        </w:r>
        <w:r w:rsidR="00D43971">
          <w:rPr>
            <w:sz w:val="22"/>
            <w:szCs w:val="22"/>
          </w:rPr>
          <w:t>/</w:t>
        </w:r>
        <w:r w:rsidR="00DD6CFB">
          <w:rPr>
            <w:sz w:val="22"/>
            <w:szCs w:val="22"/>
          </w:rPr>
          <w:t>18</w:t>
        </w:r>
        <w:r w:rsidR="00DD6CFB">
          <w:rPr>
            <w:sz w:val="22"/>
            <w:szCs w:val="22"/>
          </w:rPr>
          <w:tab/>
        </w:r>
        <w:r w:rsidR="00DD6CFB" w:rsidRPr="00751330">
          <w:rPr>
            <w:sz w:val="22"/>
            <w:szCs w:val="22"/>
          </w:rPr>
          <w:fldChar w:fldCharType="begin"/>
        </w:r>
        <w:r w:rsidR="00DD6CFB" w:rsidRPr="00751330">
          <w:rPr>
            <w:sz w:val="22"/>
            <w:szCs w:val="22"/>
          </w:rPr>
          <w:instrText xml:space="preserve"> PAGE   \* MERGEFORMAT </w:instrText>
        </w:r>
        <w:r w:rsidR="00DD6CFB" w:rsidRPr="00751330">
          <w:rPr>
            <w:sz w:val="22"/>
            <w:szCs w:val="22"/>
          </w:rPr>
          <w:fldChar w:fldCharType="separate"/>
        </w:r>
        <w:r>
          <w:rPr>
            <w:noProof/>
            <w:sz w:val="22"/>
            <w:szCs w:val="22"/>
          </w:rPr>
          <w:t>1</w:t>
        </w:r>
        <w:r w:rsidR="00DD6CFB" w:rsidRPr="00751330">
          <w:rPr>
            <w:sz w:val="22"/>
            <w:szCs w:val="22"/>
          </w:rPr>
          <w:fldChar w:fldCharType="end"/>
        </w:r>
      </w:sdtContent>
    </w:sdt>
    <w:r w:rsidR="00DD6CFB">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CFB" w:rsidRDefault="00DD6CFB">
      <w:r>
        <w:separator/>
      </w:r>
    </w:p>
  </w:footnote>
  <w:footnote w:type="continuationSeparator" w:id="0">
    <w:p w:rsidR="00DD6CFB" w:rsidRDefault="00DD6CFB">
      <w:r>
        <w:continuationSeparator/>
      </w:r>
    </w:p>
  </w:footnote>
  <w:footnote w:id="1">
    <w:p w:rsidR="00DD6CFB" w:rsidRPr="00816E97" w:rsidRDefault="00DD6CFB"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DD6CFB" w:rsidRPr="00816E97" w:rsidRDefault="00DD6CFB"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FB" w:rsidRPr="00A71D36" w:rsidRDefault="00DD6CFB"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FB" w:rsidRPr="00343885" w:rsidRDefault="00DD6CFB"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FB" w:rsidRDefault="00DD6CFB">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276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036"/>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76C58"/>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11C"/>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7FA"/>
    <w:rsid w:val="001E5BCA"/>
    <w:rsid w:val="001E5EB1"/>
    <w:rsid w:val="001E6153"/>
    <w:rsid w:val="001E6545"/>
    <w:rsid w:val="001E70A0"/>
    <w:rsid w:val="001E7BD4"/>
    <w:rsid w:val="001F033E"/>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692"/>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833"/>
    <w:rsid w:val="004B4B97"/>
    <w:rsid w:val="004B537B"/>
    <w:rsid w:val="004B60CD"/>
    <w:rsid w:val="004B64BF"/>
    <w:rsid w:val="004B654C"/>
    <w:rsid w:val="004C3B89"/>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27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F6999-536E-4A83-98FB-CBE1648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9363</Words>
  <Characters>67846</Characters>
  <Application>Microsoft Office Word</Application>
  <DocSecurity>0</DocSecurity>
  <Lines>565</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2018-10-03T14:52:00Z</dcterms:created>
  <dcterms:modified xsi:type="dcterms:W3CDTF">2018-10-03T14:52:00Z</dcterms:modified>
</cp:coreProperties>
</file>